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0648" w14:textId="77777777" w:rsidR="00551A86" w:rsidRDefault="00551A86">
      <w:pPr>
        <w:spacing w:before="240" w:after="160"/>
        <w:rPr>
          <w:b/>
          <w:bCs/>
          <w:sz w:val="24"/>
          <w:szCs w:val="24"/>
        </w:rPr>
      </w:pPr>
    </w:p>
    <w:p w14:paraId="6B881E5B" w14:textId="7D095984" w:rsidR="007146FE" w:rsidRPr="00551A86" w:rsidRDefault="00000000" w:rsidP="00551A86">
      <w:pPr>
        <w:pStyle w:val="a4"/>
        <w:numPr>
          <w:ilvl w:val="0"/>
          <w:numId w:val="5"/>
        </w:numPr>
        <w:spacing w:before="240" w:after="160"/>
        <w:ind w:left="284" w:hanging="284"/>
        <w:rPr>
          <w:rFonts w:eastAsia="Times New Roman"/>
          <w:b/>
          <w:bCs/>
          <w:sz w:val="24"/>
          <w:szCs w:val="24"/>
        </w:rPr>
      </w:pPr>
      <w:r w:rsidRPr="00551A86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스마트관광학회</w:t>
      </w:r>
      <w:r w:rsidRPr="00551A86">
        <w:rPr>
          <w:rFonts w:eastAsia="Times New Roman"/>
          <w:b/>
          <w:bCs/>
          <w:sz w:val="24"/>
          <w:szCs w:val="24"/>
        </w:rPr>
        <w:t xml:space="preserve"> </w:t>
      </w:r>
      <w:r w:rsidRPr="00551A86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한국지부</w:t>
      </w:r>
      <w:r w:rsidRPr="00551A86">
        <w:rPr>
          <w:rFonts w:eastAsia="Times New Roman"/>
          <w:b/>
          <w:bCs/>
          <w:sz w:val="24"/>
          <w:szCs w:val="24"/>
        </w:rPr>
        <w:t xml:space="preserve"> </w:t>
      </w:r>
      <w:r w:rsidRPr="00551A86"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개요</w:t>
      </w:r>
    </w:p>
    <w:p w14:paraId="4402F099" w14:textId="77777777" w:rsidR="00551A86" w:rsidRPr="00551A86" w:rsidRDefault="00551A86" w:rsidP="00551A86">
      <w:pPr>
        <w:pStyle w:val="a4"/>
        <w:spacing w:after="160"/>
        <w:ind w:left="800"/>
        <w:jc w:val="both"/>
        <w:rPr>
          <w:rFonts w:eastAsiaTheme="minorEastAsia" w:hint="eastAsia"/>
          <w:b/>
          <w:bCs/>
          <w:kern w:val="2"/>
          <w:sz w:val="24"/>
          <w:szCs w:val="28"/>
          <w14:ligatures w14:val="standardContextual"/>
        </w:rPr>
      </w:pPr>
    </w:p>
    <w:p w14:paraId="600181EB" w14:textId="11C7E8B5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스마트관광학회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(Association for Smart Tourism) </w:t>
      </w:r>
      <w:r w:rsidRPr="00551A86">
        <w:rPr>
          <w:rFonts w:eastAsiaTheme="minorEastAsia"/>
          <w:kern w:val="2"/>
          <w:szCs w:val="24"/>
          <w14:ligatures w14:val="standardContextual"/>
        </w:rPr>
        <w:t>한국지부는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및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실무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발전을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목적으로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협력적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플랫폼입니다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학회의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글로벌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네트워크의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일원으로서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proofErr w:type="spellStart"/>
      <w:r w:rsidRPr="00551A86">
        <w:rPr>
          <w:rFonts w:eastAsiaTheme="minorEastAsia"/>
          <w:kern w:val="2"/>
          <w:szCs w:val="24"/>
          <w14:ligatures w14:val="standardContextual"/>
        </w:rPr>
        <w:t>관광학</w:t>
      </w:r>
      <w:proofErr w:type="spellEnd"/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디지털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전환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(DX), </w:t>
      </w:r>
      <w:r w:rsidRPr="00551A86">
        <w:rPr>
          <w:rFonts w:eastAsiaTheme="minorEastAsia"/>
          <w:kern w:val="2"/>
          <w:szCs w:val="24"/>
          <w14:ligatures w14:val="standardContextual"/>
        </w:rPr>
        <w:t>첨단기술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분야에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종사하는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실무자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대학원생을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연결합니다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34E1EDC3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포용적인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커뮤니티의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형성과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국제적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위상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강화를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지향합니다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연구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성과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발표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실무적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이니셔티브에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대한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논의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그리고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proofErr w:type="spellStart"/>
      <w:r w:rsidRPr="00551A86">
        <w:rPr>
          <w:rFonts w:eastAsiaTheme="minorEastAsia"/>
          <w:kern w:val="2"/>
          <w:szCs w:val="24"/>
          <w14:ligatures w14:val="standardContextual"/>
        </w:rPr>
        <w:t>관광학</w:t>
      </w:r>
      <w:proofErr w:type="spellEnd"/>
      <w:r w:rsidRPr="00551A86">
        <w:rPr>
          <w:rFonts w:eastAsiaTheme="minorEastAsia"/>
          <w:kern w:val="2"/>
          <w:szCs w:val="24"/>
          <w14:ligatures w14:val="standardContextual"/>
        </w:rPr>
        <w:t>·</w:t>
      </w:r>
      <w:r w:rsidRPr="00551A86">
        <w:rPr>
          <w:rFonts w:eastAsiaTheme="minorEastAsia"/>
          <w:kern w:val="2"/>
          <w:szCs w:val="24"/>
          <w14:ligatures w14:val="standardContextual"/>
        </w:rPr>
        <w:t>정보시스템</w:t>
      </w:r>
      <w:r w:rsidRPr="00551A86">
        <w:rPr>
          <w:rFonts w:eastAsiaTheme="minorEastAsia"/>
          <w:kern w:val="2"/>
          <w:szCs w:val="24"/>
          <w14:ligatures w14:val="standardContextual"/>
        </w:rPr>
        <w:t>·</w:t>
      </w:r>
      <w:r w:rsidRPr="00551A86">
        <w:rPr>
          <w:rFonts w:eastAsiaTheme="minorEastAsia"/>
          <w:kern w:val="2"/>
          <w:szCs w:val="24"/>
          <w14:ligatures w14:val="standardContextual"/>
        </w:rPr>
        <w:t>경영학</w:t>
      </w:r>
      <w:r w:rsidRPr="00551A86">
        <w:rPr>
          <w:rFonts w:eastAsiaTheme="minorEastAsia"/>
          <w:kern w:val="2"/>
          <w:szCs w:val="24"/>
          <w14:ligatures w14:val="standardContextual"/>
        </w:rPr>
        <w:t>·</w:t>
      </w:r>
      <w:r w:rsidRPr="00551A86">
        <w:rPr>
          <w:rFonts w:eastAsiaTheme="minorEastAsia"/>
          <w:kern w:val="2"/>
          <w:szCs w:val="24"/>
          <w14:ligatures w14:val="standardContextual"/>
        </w:rPr>
        <w:t>공공정책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등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협력을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촉진하는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장을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제공합니다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5A6B2010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주요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분야로는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분야의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AI </w:t>
      </w:r>
      <w:r w:rsidRPr="00551A86">
        <w:rPr>
          <w:rFonts w:eastAsiaTheme="minorEastAsia"/>
          <w:kern w:val="2"/>
          <w:szCs w:val="24"/>
          <w14:ligatures w14:val="standardContextual"/>
        </w:rPr>
        <w:t>활용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데이터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목적지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디지털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플랫폼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proofErr w:type="spellStart"/>
      <w:r w:rsidRPr="00551A86">
        <w:rPr>
          <w:rFonts w:eastAsiaTheme="minorEastAsia"/>
          <w:kern w:val="2"/>
          <w:szCs w:val="24"/>
          <w14:ligatures w14:val="standardContextual"/>
        </w:rPr>
        <w:t>로보틱스</w:t>
      </w:r>
      <w:proofErr w:type="spellEnd"/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및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자동화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몰입형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(VR/AR), </w:t>
      </w:r>
      <w:r w:rsidRPr="00551A86">
        <w:rPr>
          <w:rFonts w:eastAsiaTheme="minorEastAsia"/>
          <w:kern w:val="2"/>
          <w:szCs w:val="24"/>
          <w14:ligatures w14:val="standardContextual"/>
        </w:rPr>
        <w:t>혁신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지속가능한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개발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등이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5AB9F7ED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한국지부는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다음과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같은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활동을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통해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국내외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교류를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추진합니다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2B693171" w14:textId="77777777" w:rsidR="007146FE" w:rsidRPr="00551A86" w:rsidRDefault="00000000">
      <w:pPr>
        <w:pStyle w:val="a4"/>
        <w:numPr>
          <w:ilvl w:val="0"/>
          <w:numId w:val="2"/>
        </w:numPr>
        <w:spacing w:after="120"/>
        <w:jc w:val="both"/>
        <w:rPr>
          <w:rFonts w:asciiTheme="majorHAnsi" w:eastAsiaTheme="majorHAnsi" w:hAnsiTheme="majorHAnsi"/>
        </w:rPr>
      </w:pPr>
      <w:r w:rsidRPr="00551A86">
        <w:rPr>
          <w:rFonts w:asciiTheme="majorHAnsi" w:eastAsiaTheme="majorHAnsi" w:hAnsiTheme="majorHAnsi"/>
          <w:b/>
          <w:bCs/>
        </w:rPr>
        <w:t xml:space="preserve">World Conference on Smart Tourism(WCST) </w:t>
      </w:r>
      <w:r w:rsidRPr="00551A86">
        <w:rPr>
          <w:rFonts w:asciiTheme="majorHAnsi" w:eastAsiaTheme="majorHAnsi" w:hAnsiTheme="majorHAnsi"/>
        </w:rPr>
        <w:t>및 한국 관련 연구를 주제로 하는 전용 세션인 Korea Track에의 적극적 참여</w:t>
      </w:r>
    </w:p>
    <w:p w14:paraId="7D9A7691" w14:textId="77777777" w:rsidR="007146FE" w:rsidRPr="00551A86" w:rsidRDefault="00000000">
      <w:pPr>
        <w:pStyle w:val="a4"/>
        <w:numPr>
          <w:ilvl w:val="0"/>
          <w:numId w:val="2"/>
        </w:numPr>
        <w:spacing w:after="120"/>
        <w:jc w:val="both"/>
        <w:rPr>
          <w:rFonts w:asciiTheme="majorHAnsi" w:eastAsiaTheme="majorHAnsi" w:hAnsiTheme="majorHAnsi"/>
        </w:rPr>
      </w:pPr>
      <w:r w:rsidRPr="00551A86">
        <w:rPr>
          <w:rFonts w:asciiTheme="majorHAnsi" w:eastAsiaTheme="majorHAnsi" w:hAnsiTheme="majorHAnsi"/>
          <w:b/>
          <w:bCs/>
          <w:i/>
          <w:iCs/>
        </w:rPr>
        <w:t>Journal of Smart Tourism</w:t>
      </w:r>
      <w:r w:rsidRPr="00551A86">
        <w:rPr>
          <w:rFonts w:asciiTheme="majorHAnsi" w:eastAsiaTheme="majorHAnsi" w:hAnsiTheme="majorHAnsi"/>
        </w:rPr>
        <w:t xml:space="preserve"> 논문 게재를 통한 한국 발(發) 연구의 국제적 가시성 제고</w:t>
      </w:r>
    </w:p>
    <w:p w14:paraId="29C3938F" w14:textId="77777777" w:rsidR="007146FE" w:rsidRPr="00551A86" w:rsidRDefault="00000000">
      <w:pPr>
        <w:pStyle w:val="a4"/>
        <w:numPr>
          <w:ilvl w:val="0"/>
          <w:numId w:val="2"/>
        </w:numPr>
        <w:spacing w:after="120"/>
        <w:jc w:val="both"/>
        <w:rPr>
          <w:rFonts w:asciiTheme="majorHAnsi" w:eastAsiaTheme="majorHAnsi" w:hAnsiTheme="majorHAnsi"/>
        </w:rPr>
      </w:pPr>
      <w:r w:rsidRPr="00551A86">
        <w:rPr>
          <w:rFonts w:asciiTheme="majorHAnsi" w:eastAsiaTheme="majorHAnsi" w:hAnsiTheme="majorHAnsi"/>
          <w:b/>
          <w:bCs/>
        </w:rPr>
        <w:t>국내 정기 학술 교류</w:t>
      </w:r>
      <w:r w:rsidRPr="00551A86">
        <w:rPr>
          <w:rFonts w:asciiTheme="majorHAnsi" w:eastAsiaTheme="majorHAnsi" w:hAnsiTheme="majorHAnsi"/>
        </w:rPr>
        <w:t>를 통한 연구자·실무자·대학원생 간 소통과 협력의 장 제공</w:t>
      </w:r>
    </w:p>
    <w:p w14:paraId="4F00AA97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단계에서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형식적인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조직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구조보다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개방성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지적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교류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협력을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중시하는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유연한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네트워크로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운영되고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폭넓은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참여를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장려함으로써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역동적이고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미래지향적인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커뮤니티를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형성하는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것을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목표로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24F55AD1" w14:textId="77777777" w:rsidR="00551A86" w:rsidRDefault="00551A86">
      <w:pPr>
        <w:spacing w:after="160"/>
        <w:jc w:val="both"/>
      </w:pPr>
    </w:p>
    <w:p w14:paraId="679D544B" w14:textId="03D44C48" w:rsidR="007146FE" w:rsidRPr="00551A86" w:rsidRDefault="00000000" w:rsidP="00551A86">
      <w:pPr>
        <w:pStyle w:val="a4"/>
        <w:numPr>
          <w:ilvl w:val="0"/>
          <w:numId w:val="5"/>
        </w:numPr>
        <w:spacing w:before="240" w:after="160"/>
        <w:ind w:left="284" w:hanging="284"/>
        <w:rPr>
          <w:rFonts w:ascii="맑은 고딕" w:eastAsia="맑은 고딕" w:hAnsi="맑은 고딕" w:cs="맑은 고딕"/>
          <w:b/>
          <w:bCs/>
          <w:sz w:val="24"/>
          <w:szCs w:val="24"/>
        </w:rPr>
      </w:pPr>
      <w:r w:rsidRPr="00551A86">
        <w:rPr>
          <w:rFonts w:ascii="맑은 고딕" w:eastAsia="맑은 고딕" w:hAnsi="맑은 고딕" w:cs="맑은 고딕"/>
          <w:b/>
          <w:bCs/>
          <w:sz w:val="24"/>
          <w:szCs w:val="24"/>
        </w:rPr>
        <w:t>한국에서 스마트관광의 의의</w:t>
      </w:r>
    </w:p>
    <w:p w14:paraId="0D1543BC" w14:textId="77777777" w:rsidR="00551A86" w:rsidRPr="00551A86" w:rsidRDefault="00551A86" w:rsidP="00551A86">
      <w:pPr>
        <w:pStyle w:val="a4"/>
        <w:spacing w:after="160"/>
        <w:ind w:left="800"/>
        <w:jc w:val="both"/>
        <w:rPr>
          <w:rFonts w:eastAsiaTheme="minorEastAsia" w:hint="eastAsia"/>
          <w:b/>
          <w:bCs/>
          <w:kern w:val="2"/>
          <w:sz w:val="24"/>
          <w:szCs w:val="28"/>
          <w14:ligatures w14:val="standardContextual"/>
        </w:rPr>
      </w:pPr>
    </w:p>
    <w:p w14:paraId="19B7C19A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한국은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발전에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전략적으로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중요한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맥락을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지니고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>. 2025</w:t>
      </w:r>
      <w:r w:rsidRPr="00551A86">
        <w:rPr>
          <w:rFonts w:eastAsiaTheme="minorEastAsia"/>
          <w:kern w:val="2"/>
          <w:szCs w:val="24"/>
          <w14:ligatures w14:val="standardContextual"/>
        </w:rPr>
        <w:t>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방문한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외국인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관광객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약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1,850</w:t>
      </w:r>
      <w:r w:rsidRPr="00551A86">
        <w:rPr>
          <w:rFonts w:eastAsiaTheme="minorEastAsia"/>
          <w:kern w:val="2"/>
          <w:szCs w:val="24"/>
          <w14:ligatures w14:val="standardContextual"/>
        </w:rPr>
        <w:t>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명에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달해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역대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최고치를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기록하였으며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이는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2019</w:t>
      </w:r>
      <w:r w:rsidRPr="00551A86">
        <w:rPr>
          <w:rFonts w:eastAsiaTheme="minorEastAsia"/>
          <w:kern w:val="2"/>
          <w:szCs w:val="24"/>
          <w14:ligatures w14:val="standardContextual"/>
        </w:rPr>
        <w:t>년의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최고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기록인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1,750</w:t>
      </w:r>
      <w:r w:rsidRPr="00551A86">
        <w:rPr>
          <w:rFonts w:eastAsiaTheme="minorEastAsia"/>
          <w:kern w:val="2"/>
          <w:szCs w:val="24"/>
          <w14:ligatures w14:val="standardContextual"/>
        </w:rPr>
        <w:t>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명을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넘어서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proofErr w:type="spellStart"/>
      <w:r w:rsidRPr="00551A86">
        <w:rPr>
          <w:rFonts w:eastAsiaTheme="minorEastAsia"/>
          <w:kern w:val="2"/>
          <w:szCs w:val="24"/>
          <w14:ligatures w14:val="standardContextual"/>
        </w:rPr>
        <w:t>인바운드</w:t>
      </w:r>
      <w:proofErr w:type="spellEnd"/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관광의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완전한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회복과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지속적인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성장을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보여주었습니다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이러한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증가는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경제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활동을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뒷받침하는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주요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도시로의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집중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지역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격차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낮은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재방문율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지역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인프라에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대한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부담과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같은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구조적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과제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또한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부각시켰습니다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398AEA31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이러한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상황에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대응하여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한국의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복잡하게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변화하는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환경에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대응하기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위한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전략적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접근으로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자리매김하고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AI, </w:t>
      </w:r>
      <w:r w:rsidRPr="00551A86">
        <w:rPr>
          <w:rFonts w:eastAsiaTheme="minorEastAsia"/>
          <w:kern w:val="2"/>
          <w:szCs w:val="24"/>
          <w14:ligatures w14:val="standardContextual"/>
        </w:rPr>
        <w:t>데이터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분석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자동화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디지털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플랫폼의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통합은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목적지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lastRenderedPageBreak/>
        <w:t>거버넌스의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고도화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서비스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제공의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질적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향상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지속가능한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성장의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실현에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점점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핵심적인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역할을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하고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21472AF3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세계적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수준의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디지털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인프라와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ICT </w:t>
      </w:r>
      <w:r w:rsidRPr="00551A86">
        <w:rPr>
          <w:rFonts w:eastAsiaTheme="minorEastAsia"/>
          <w:kern w:val="2"/>
          <w:szCs w:val="24"/>
          <w14:ligatures w14:val="standardContextual"/>
        </w:rPr>
        <w:t>환경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그리고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활발한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민관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협력을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배경으로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한국은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지능형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시스템이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발전을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어떻게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지원할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있는지를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검토하기에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특유의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환경을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갖추고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동시에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한류</w:t>
      </w:r>
      <w:r w:rsidRPr="00551A86">
        <w:rPr>
          <w:rFonts w:eastAsiaTheme="minorEastAsia"/>
          <w:kern w:val="2"/>
          <w:szCs w:val="24"/>
          <w14:ligatures w14:val="standardContextual"/>
        </w:rPr>
        <w:t>(Korean Wave)</w:t>
      </w:r>
      <w:r w:rsidRPr="00551A86">
        <w:rPr>
          <w:rFonts w:eastAsiaTheme="minorEastAsia"/>
          <w:kern w:val="2"/>
          <w:szCs w:val="24"/>
          <w14:ligatures w14:val="standardContextual"/>
        </w:rPr>
        <w:t>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강력한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글로벌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영향력과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지역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불균형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인구구조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변화는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분야에서의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도입이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가지는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장기적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함의를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분석하는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중요한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시사점을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제공합니다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42477B40" w14:textId="77777777" w:rsidR="007146FE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따라서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단순한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업무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효율화에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그치지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않습니다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지속가능성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지역사회의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웰빙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책임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성장과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같은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광범위한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과제를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포괄합니다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한국지부는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촉진과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국제적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대화의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활성화를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통해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이러한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과제에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대한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이해를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심화하고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한국을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글로벌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학술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능동적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기여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주체로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자리매김하는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것을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목표로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26D96F2D" w14:textId="77777777" w:rsidR="00551A86" w:rsidRPr="00551A86" w:rsidRDefault="00551A86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</w:p>
    <w:p w14:paraId="4B503152" w14:textId="7EC75D83" w:rsidR="007146FE" w:rsidRPr="00551A86" w:rsidRDefault="00000000" w:rsidP="00551A86">
      <w:pPr>
        <w:pStyle w:val="a4"/>
        <w:numPr>
          <w:ilvl w:val="0"/>
          <w:numId w:val="5"/>
        </w:numPr>
        <w:spacing w:before="240" w:after="160"/>
        <w:ind w:left="284" w:hanging="284"/>
        <w:rPr>
          <w:rFonts w:ascii="맑은 고딕" w:eastAsia="맑은 고딕" w:hAnsi="맑은 고딕" w:cs="맑은 고딕"/>
          <w:b/>
          <w:bCs/>
          <w:sz w:val="24"/>
          <w:szCs w:val="24"/>
        </w:rPr>
      </w:pPr>
      <w:r w:rsidRPr="00551A86">
        <w:rPr>
          <w:rFonts w:ascii="맑은 고딕" w:eastAsia="맑은 고딕" w:hAnsi="맑은 고딕" w:cs="맑은 고딕"/>
          <w:b/>
          <w:bCs/>
          <w:sz w:val="24"/>
          <w:szCs w:val="24"/>
        </w:rPr>
        <w:t>회원 안내</w:t>
      </w:r>
    </w:p>
    <w:p w14:paraId="2DE9D61A" w14:textId="77777777" w:rsidR="00551A86" w:rsidRPr="00551A86" w:rsidRDefault="00551A86" w:rsidP="00551A86">
      <w:pPr>
        <w:pStyle w:val="a4"/>
        <w:spacing w:after="160"/>
        <w:ind w:left="800"/>
        <w:jc w:val="both"/>
        <w:rPr>
          <w:rFonts w:eastAsiaTheme="minorEastAsia" w:hint="eastAsia"/>
          <w:b/>
          <w:bCs/>
          <w:kern w:val="2"/>
          <w:sz w:val="24"/>
          <w:szCs w:val="28"/>
          <w14:ligatures w14:val="standardContextual"/>
        </w:rPr>
      </w:pPr>
    </w:p>
    <w:p w14:paraId="5E810648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한국지부는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스마트관광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및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실무에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관심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연구자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실무자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, </w:t>
      </w:r>
      <w:r w:rsidRPr="00551A86">
        <w:rPr>
          <w:rFonts w:eastAsiaTheme="minorEastAsia"/>
          <w:kern w:val="2"/>
          <w:szCs w:val="24"/>
          <w14:ligatures w14:val="standardContextual"/>
        </w:rPr>
        <w:t>대학원생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여러분의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참여를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환영합니다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16DADCCA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회원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제도는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개방적이고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유연하게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운영됩니다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6554E2AF" w14:textId="77777777" w:rsidR="007146FE" w:rsidRPr="00551A86" w:rsidRDefault="00000000" w:rsidP="00551A86">
      <w:pPr>
        <w:pStyle w:val="a4"/>
        <w:widowControl w:val="0"/>
        <w:numPr>
          <w:ilvl w:val="0"/>
          <w:numId w:val="2"/>
        </w:numPr>
        <w:wordWrap w:val="0"/>
        <w:autoSpaceDE w:val="0"/>
        <w:autoSpaceDN w:val="0"/>
        <w:spacing w:after="160"/>
        <w:ind w:left="800"/>
        <w:contextualSpacing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스마트관광학회</w:t>
      </w:r>
      <w:r w:rsidRPr="00551A86">
        <w:rPr>
          <w:rFonts w:eastAsiaTheme="minorEastAsia"/>
          <w:kern w:val="2"/>
          <w:szCs w:val="24"/>
          <w14:ligatures w14:val="standardContextual"/>
        </w:rPr>
        <w:t>(AST)</w:t>
      </w:r>
      <w:r w:rsidRPr="00551A86">
        <w:rPr>
          <w:rFonts w:eastAsiaTheme="minorEastAsia"/>
          <w:kern w:val="2"/>
          <w:szCs w:val="24"/>
          <w14:ligatures w14:val="standardContextual"/>
        </w:rPr>
        <w:t>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정회원은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자동으로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한국지부의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회원이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04894159" w14:textId="77777777" w:rsidR="007146FE" w:rsidRPr="00551A86" w:rsidRDefault="00000000" w:rsidP="00551A86">
      <w:pPr>
        <w:pStyle w:val="a4"/>
        <w:widowControl w:val="0"/>
        <w:numPr>
          <w:ilvl w:val="0"/>
          <w:numId w:val="2"/>
        </w:numPr>
        <w:wordWrap w:val="0"/>
        <w:autoSpaceDE w:val="0"/>
        <w:autoSpaceDN w:val="0"/>
        <w:spacing w:after="160"/>
        <w:ind w:left="800"/>
        <w:contextualSpacing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 xml:space="preserve">AST </w:t>
      </w:r>
      <w:r w:rsidRPr="00551A86">
        <w:rPr>
          <w:rFonts w:eastAsiaTheme="minorEastAsia"/>
          <w:kern w:val="2"/>
          <w:szCs w:val="24"/>
          <w14:ligatures w14:val="standardContextual"/>
        </w:rPr>
        <w:t>회원이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아니더라도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한국지부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활동에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참여할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있습니다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. </w:t>
      </w:r>
      <w:r w:rsidRPr="00551A86">
        <w:rPr>
          <w:rFonts w:eastAsiaTheme="minorEastAsia"/>
          <w:kern w:val="2"/>
          <w:szCs w:val="24"/>
          <w14:ligatures w14:val="standardContextual"/>
        </w:rPr>
        <w:t>다만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WCST2026</w:t>
      </w:r>
      <w:r w:rsidRPr="00551A86">
        <w:rPr>
          <w:rFonts w:eastAsiaTheme="minorEastAsia"/>
          <w:kern w:val="2"/>
          <w:szCs w:val="24"/>
          <w14:ligatures w14:val="standardContextual"/>
        </w:rPr>
        <w:t>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비롯한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국제적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활동에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참여하실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예정인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분들께는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AST </w:t>
      </w:r>
      <w:r w:rsidRPr="00551A86">
        <w:rPr>
          <w:rFonts w:eastAsiaTheme="minorEastAsia"/>
          <w:kern w:val="2"/>
          <w:szCs w:val="24"/>
          <w14:ligatures w14:val="standardContextual"/>
        </w:rPr>
        <w:t>가입을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적극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권장합니다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209CAAC8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 xml:space="preserve">AST </w:t>
      </w:r>
      <w:r w:rsidRPr="00551A86">
        <w:rPr>
          <w:rFonts w:eastAsiaTheme="minorEastAsia"/>
          <w:kern w:val="2"/>
          <w:szCs w:val="24"/>
          <w14:ligatures w14:val="standardContextual"/>
        </w:rPr>
        <w:t>정회원으로서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글로벌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네트워크에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참여하고자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하시는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분은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AST </w:t>
      </w:r>
      <w:r w:rsidRPr="00551A86">
        <w:rPr>
          <w:rFonts w:eastAsiaTheme="minorEastAsia"/>
          <w:kern w:val="2"/>
          <w:szCs w:val="24"/>
          <w14:ligatures w14:val="standardContextual"/>
        </w:rPr>
        <w:t>공식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회원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페이지</w:t>
      </w:r>
      <w:r w:rsidRPr="00551A86">
        <w:rPr>
          <w:rFonts w:eastAsiaTheme="minorEastAsia"/>
          <w:kern w:val="2"/>
          <w:szCs w:val="24"/>
          <w14:ligatures w14:val="standardContextual"/>
        </w:rPr>
        <w:t>(</w:t>
      </w:r>
      <w:hyperlink r:id="rId5" w:history="1">
        <w:r w:rsidRPr="00551A86">
          <w:rPr>
            <w:rFonts w:eastAsiaTheme="minorEastAsia"/>
            <w:kern w:val="2"/>
            <w:szCs w:val="24"/>
            <w14:ligatures w14:val="standardContextual"/>
          </w:rPr>
          <w:t>https://www.astworld.org/membership/membership.php</w:t>
        </w:r>
      </w:hyperlink>
      <w:r w:rsidRPr="00551A86">
        <w:rPr>
          <w:rFonts w:eastAsiaTheme="minorEastAsia"/>
          <w:kern w:val="2"/>
          <w:szCs w:val="24"/>
          <w14:ligatures w14:val="standardContextual"/>
        </w:rPr>
        <w:t>)</w:t>
      </w:r>
      <w:r w:rsidRPr="00551A86">
        <w:rPr>
          <w:rFonts w:eastAsiaTheme="minorEastAsia"/>
          <w:kern w:val="2"/>
          <w:szCs w:val="24"/>
          <w14:ligatures w14:val="standardContextual"/>
        </w:rPr>
        <w:t>를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참고하시기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바랍니다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1B2796F4" w14:textId="77777777" w:rsidR="00551A86" w:rsidRPr="00551A86" w:rsidRDefault="00551A86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</w:p>
    <w:p w14:paraId="35507E05" w14:textId="77777777" w:rsidR="007146FE" w:rsidRPr="00551A86" w:rsidRDefault="00000000">
      <w:pPr>
        <w:spacing w:after="160"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문의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및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협력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관련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사항은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아래로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연락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주시기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</w:t>
      </w:r>
      <w:r w:rsidRPr="00551A86">
        <w:rPr>
          <w:rFonts w:eastAsiaTheme="minorEastAsia"/>
          <w:kern w:val="2"/>
          <w:szCs w:val="24"/>
          <w14:ligatures w14:val="standardContextual"/>
        </w:rPr>
        <w:t>바랍니다</w:t>
      </w:r>
      <w:r w:rsidRPr="00551A86">
        <w:rPr>
          <w:rFonts w:eastAsiaTheme="minorEastAsia"/>
          <w:kern w:val="2"/>
          <w:szCs w:val="24"/>
          <w14:ligatures w14:val="standardContextual"/>
        </w:rPr>
        <w:t>.</w:t>
      </w:r>
    </w:p>
    <w:p w14:paraId="6BFF449B" w14:textId="25FE0184" w:rsidR="007146FE" w:rsidRPr="00551A86" w:rsidRDefault="00000000" w:rsidP="00551A86">
      <w:pPr>
        <w:pStyle w:val="a4"/>
        <w:widowControl w:val="0"/>
        <w:numPr>
          <w:ilvl w:val="0"/>
          <w:numId w:val="2"/>
        </w:numPr>
        <w:wordWrap w:val="0"/>
        <w:autoSpaceDE w:val="0"/>
        <w:autoSpaceDN w:val="0"/>
        <w:spacing w:after="160"/>
        <w:ind w:left="800"/>
        <w:contextualSpacing/>
        <w:jc w:val="both"/>
        <w:rPr>
          <w:rFonts w:eastAsiaTheme="minorEastAsia"/>
          <w:kern w:val="2"/>
          <w:szCs w:val="24"/>
          <w14:ligatures w14:val="standardContextual"/>
        </w:rPr>
      </w:pPr>
      <w:proofErr w:type="spellStart"/>
      <w:r w:rsidRPr="00551A86">
        <w:rPr>
          <w:rFonts w:eastAsiaTheme="minorEastAsia"/>
          <w:kern w:val="2"/>
          <w:szCs w:val="24"/>
          <w14:ligatures w14:val="standardContextual"/>
        </w:rPr>
        <w:t>정남호</w:t>
      </w:r>
      <w:proofErr w:type="spellEnd"/>
      <w:r w:rsidRPr="00551A86">
        <w:rPr>
          <w:rFonts w:eastAsiaTheme="minorEastAsia"/>
          <w:kern w:val="2"/>
          <w:szCs w:val="24"/>
          <w14:ligatures w14:val="standardContextual"/>
        </w:rPr>
        <w:t xml:space="preserve"> (</w:t>
      </w:r>
      <w:r w:rsidRPr="00551A86">
        <w:rPr>
          <w:rFonts w:eastAsiaTheme="minorEastAsia"/>
          <w:kern w:val="2"/>
          <w:szCs w:val="24"/>
          <w14:ligatures w14:val="standardContextual"/>
        </w:rPr>
        <w:t>경희대학교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): </w:t>
      </w:r>
      <w:r w:rsidR="00551A86" w:rsidRPr="00551A86">
        <w:rPr>
          <w:rFonts w:eastAsiaTheme="minorEastAsia"/>
          <w:kern w:val="2"/>
          <w:szCs w:val="24"/>
          <w14:ligatures w14:val="standardContextual"/>
        </w:rPr>
        <w:t>nhchung@khu.ac.kr</w:t>
      </w:r>
    </w:p>
    <w:p w14:paraId="3AF7D064" w14:textId="188E4107" w:rsidR="007146FE" w:rsidRPr="00551A86" w:rsidRDefault="00000000" w:rsidP="00551A86">
      <w:pPr>
        <w:pStyle w:val="a4"/>
        <w:widowControl w:val="0"/>
        <w:numPr>
          <w:ilvl w:val="0"/>
          <w:numId w:val="2"/>
        </w:numPr>
        <w:wordWrap w:val="0"/>
        <w:autoSpaceDE w:val="0"/>
        <w:autoSpaceDN w:val="0"/>
        <w:spacing w:after="160"/>
        <w:ind w:left="800"/>
        <w:contextualSpacing/>
        <w:jc w:val="both"/>
        <w:rPr>
          <w:rFonts w:eastAsiaTheme="minorEastAsia"/>
          <w:kern w:val="2"/>
          <w:szCs w:val="24"/>
          <w14:ligatures w14:val="standardContextual"/>
        </w:rPr>
      </w:pPr>
      <w:r w:rsidRPr="00551A86">
        <w:rPr>
          <w:rFonts w:eastAsiaTheme="minorEastAsia"/>
          <w:kern w:val="2"/>
          <w:szCs w:val="24"/>
          <w14:ligatures w14:val="standardContextual"/>
        </w:rPr>
        <w:t>이종화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 (</w:t>
      </w:r>
      <w:r w:rsidRPr="00551A86">
        <w:rPr>
          <w:rFonts w:eastAsiaTheme="minorEastAsia"/>
          <w:kern w:val="2"/>
          <w:szCs w:val="24"/>
          <w14:ligatures w14:val="standardContextual"/>
        </w:rPr>
        <w:t>동의대학교</w:t>
      </w:r>
      <w:r w:rsidRPr="00551A86">
        <w:rPr>
          <w:rFonts w:eastAsiaTheme="minorEastAsia"/>
          <w:kern w:val="2"/>
          <w:szCs w:val="24"/>
          <w14:ligatures w14:val="standardContextual"/>
        </w:rPr>
        <w:t xml:space="preserve">): </w:t>
      </w:r>
      <w:r w:rsidR="00551A86">
        <w:rPr>
          <w:rFonts w:eastAsiaTheme="minorEastAsia" w:hint="eastAsia"/>
          <w:kern w:val="2"/>
          <w:szCs w:val="24"/>
          <w14:ligatures w14:val="standardContextual"/>
        </w:rPr>
        <w:t>jhlee6050@deu.ac.kr</w:t>
      </w:r>
    </w:p>
    <w:sectPr w:rsidR="007146FE" w:rsidRPr="00551A8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5E2"/>
    <w:multiLevelType w:val="hybridMultilevel"/>
    <w:tmpl w:val="1EA4DF14"/>
    <w:lvl w:ilvl="0" w:tplc="C306443C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A824C92"/>
    <w:multiLevelType w:val="hybridMultilevel"/>
    <w:tmpl w:val="62D4FEAA"/>
    <w:lvl w:ilvl="0" w:tplc="849CDD9C">
      <w:start w:val="1"/>
      <w:numFmt w:val="bullet"/>
      <w:lvlText w:val="●"/>
      <w:lvlJc w:val="left"/>
      <w:pPr>
        <w:ind w:left="720" w:hanging="360"/>
      </w:pPr>
    </w:lvl>
    <w:lvl w:ilvl="1" w:tplc="485A29F6">
      <w:start w:val="1"/>
      <w:numFmt w:val="bullet"/>
      <w:lvlText w:val="○"/>
      <w:lvlJc w:val="left"/>
      <w:pPr>
        <w:ind w:left="1440" w:hanging="360"/>
      </w:pPr>
    </w:lvl>
    <w:lvl w:ilvl="2" w:tplc="34A29A66">
      <w:start w:val="1"/>
      <w:numFmt w:val="bullet"/>
      <w:lvlText w:val="■"/>
      <w:lvlJc w:val="left"/>
      <w:pPr>
        <w:ind w:left="2160" w:hanging="360"/>
      </w:pPr>
    </w:lvl>
    <w:lvl w:ilvl="3" w:tplc="C2222C00">
      <w:start w:val="1"/>
      <w:numFmt w:val="bullet"/>
      <w:lvlText w:val="●"/>
      <w:lvlJc w:val="left"/>
      <w:pPr>
        <w:ind w:left="2880" w:hanging="360"/>
      </w:pPr>
    </w:lvl>
    <w:lvl w:ilvl="4" w:tplc="70028648">
      <w:start w:val="1"/>
      <w:numFmt w:val="bullet"/>
      <w:lvlText w:val="○"/>
      <w:lvlJc w:val="left"/>
      <w:pPr>
        <w:ind w:left="3600" w:hanging="360"/>
      </w:pPr>
    </w:lvl>
    <w:lvl w:ilvl="5" w:tplc="009E2AB4">
      <w:start w:val="1"/>
      <w:numFmt w:val="bullet"/>
      <w:lvlText w:val="■"/>
      <w:lvlJc w:val="left"/>
      <w:pPr>
        <w:ind w:left="4320" w:hanging="360"/>
      </w:pPr>
    </w:lvl>
    <w:lvl w:ilvl="6" w:tplc="93826EBA">
      <w:start w:val="1"/>
      <w:numFmt w:val="bullet"/>
      <w:lvlText w:val="●"/>
      <w:lvlJc w:val="left"/>
      <w:pPr>
        <w:ind w:left="5040" w:hanging="360"/>
      </w:pPr>
    </w:lvl>
    <w:lvl w:ilvl="7" w:tplc="74869562">
      <w:start w:val="1"/>
      <w:numFmt w:val="bullet"/>
      <w:lvlText w:val="●"/>
      <w:lvlJc w:val="left"/>
      <w:pPr>
        <w:ind w:left="5760" w:hanging="360"/>
      </w:pPr>
    </w:lvl>
    <w:lvl w:ilvl="8" w:tplc="72F80F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B6E278E"/>
    <w:multiLevelType w:val="hybridMultilevel"/>
    <w:tmpl w:val="34BEE324"/>
    <w:lvl w:ilvl="0" w:tplc="774C0060">
      <w:start w:val="1"/>
      <w:numFmt w:val="bullet"/>
      <w:lvlText w:val="–"/>
      <w:lvlJc w:val="left"/>
      <w:pPr>
        <w:ind w:left="720" w:hanging="360"/>
      </w:pPr>
    </w:lvl>
    <w:lvl w:ilvl="1" w:tplc="9E9C680A">
      <w:numFmt w:val="decimal"/>
      <w:lvlText w:val=""/>
      <w:lvlJc w:val="left"/>
    </w:lvl>
    <w:lvl w:ilvl="2" w:tplc="C1685A80">
      <w:numFmt w:val="decimal"/>
      <w:lvlText w:val=""/>
      <w:lvlJc w:val="left"/>
    </w:lvl>
    <w:lvl w:ilvl="3" w:tplc="32428494">
      <w:numFmt w:val="decimal"/>
      <w:lvlText w:val=""/>
      <w:lvlJc w:val="left"/>
    </w:lvl>
    <w:lvl w:ilvl="4" w:tplc="926E1A46">
      <w:numFmt w:val="decimal"/>
      <w:lvlText w:val=""/>
      <w:lvlJc w:val="left"/>
    </w:lvl>
    <w:lvl w:ilvl="5" w:tplc="637C0A62">
      <w:numFmt w:val="decimal"/>
      <w:lvlText w:val=""/>
      <w:lvlJc w:val="left"/>
    </w:lvl>
    <w:lvl w:ilvl="6" w:tplc="D21C2FCE">
      <w:numFmt w:val="decimal"/>
      <w:lvlText w:val=""/>
      <w:lvlJc w:val="left"/>
    </w:lvl>
    <w:lvl w:ilvl="7" w:tplc="3DC4FDE6">
      <w:numFmt w:val="decimal"/>
      <w:lvlText w:val=""/>
      <w:lvlJc w:val="left"/>
    </w:lvl>
    <w:lvl w:ilvl="8" w:tplc="003E9E36">
      <w:numFmt w:val="decimal"/>
      <w:lvlText w:val=""/>
      <w:lvlJc w:val="left"/>
    </w:lvl>
  </w:abstractNum>
  <w:abstractNum w:abstractNumId="3" w15:restartNumberingAfterBreak="0">
    <w:nsid w:val="4E420419"/>
    <w:multiLevelType w:val="hybridMultilevel"/>
    <w:tmpl w:val="B428E46E"/>
    <w:lvl w:ilvl="0" w:tplc="1878379C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A237DA5"/>
    <w:multiLevelType w:val="hybridMultilevel"/>
    <w:tmpl w:val="04FA6F20"/>
    <w:lvl w:ilvl="0" w:tplc="5484A9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73877827">
    <w:abstractNumId w:val="1"/>
    <w:lvlOverride w:ilvl="0">
      <w:startOverride w:val="1"/>
    </w:lvlOverride>
  </w:num>
  <w:num w:numId="2" w16cid:durableId="1087114430">
    <w:abstractNumId w:val="2"/>
    <w:lvlOverride w:ilvl="0">
      <w:startOverride w:val="1"/>
    </w:lvlOverride>
  </w:num>
  <w:num w:numId="3" w16cid:durableId="1220943103">
    <w:abstractNumId w:val="4"/>
  </w:num>
  <w:num w:numId="4" w16cid:durableId="1560094144">
    <w:abstractNumId w:val="0"/>
  </w:num>
  <w:num w:numId="5" w16cid:durableId="198118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FE"/>
    <w:rsid w:val="00551A86"/>
    <w:rsid w:val="007146FE"/>
    <w:rsid w:val="0096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DA83"/>
  <w15:docId w15:val="{E01CD1FF-2614-438A-A520-15118EB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tworld.org/membership/membership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Jonghwa Lee</cp:lastModifiedBy>
  <cp:revision>2</cp:revision>
  <dcterms:created xsi:type="dcterms:W3CDTF">2026-06-08T11:58:00Z</dcterms:created>
  <dcterms:modified xsi:type="dcterms:W3CDTF">2026-06-08T12:14:00Z</dcterms:modified>
</cp:coreProperties>
</file>